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F6E6D" w14:textId="4062CAEB" w:rsidR="007863CE" w:rsidRDefault="007863CE" w:rsidP="007863CE">
      <w:r>
        <w:t>Dragan Petrovec</w:t>
      </w:r>
    </w:p>
    <w:p w14:paraId="3917DFE7" w14:textId="3FAA5EBD" w:rsidR="00CA43EB" w:rsidRDefault="00D43234" w:rsidP="00D43234">
      <w:pPr>
        <w:jc w:val="center"/>
        <w:rPr>
          <w:b/>
          <w:bCs/>
        </w:rPr>
      </w:pPr>
      <w:r w:rsidRPr="00D43234">
        <w:rPr>
          <w:b/>
          <w:bCs/>
        </w:rPr>
        <w:t>Ljuba Barbara</w:t>
      </w:r>
    </w:p>
    <w:p w14:paraId="537E5E03" w14:textId="6427436A" w:rsidR="007863CE" w:rsidRDefault="007863CE" w:rsidP="007863CE">
      <w:r>
        <w:t>[Nagovor ob 76. obletnici osvoboditve taborišča Ljubelj 12. junija 2021]</w:t>
      </w:r>
    </w:p>
    <w:p w14:paraId="21AA004E" w14:textId="77777777" w:rsidR="00BD37E9" w:rsidRPr="00D43234" w:rsidRDefault="00BD37E9" w:rsidP="00D43234">
      <w:pPr>
        <w:jc w:val="center"/>
        <w:rPr>
          <w:b/>
          <w:bCs/>
        </w:rPr>
      </w:pPr>
    </w:p>
    <w:p w14:paraId="6D279E40" w14:textId="109E92CD" w:rsidR="00D43234" w:rsidRDefault="00D43234">
      <w:r>
        <w:t>Ta svet ni več tvoj svet. Zapustila si ga že pred leti. A četudi bi bila še med nami, ta svet danes ne bi bil tvoj svet</w:t>
      </w:r>
      <w:r w:rsidR="000234D8">
        <w:t>, sv</w:t>
      </w:r>
      <w:r>
        <w:t>et iz pesmi, ki s</w:t>
      </w:r>
      <w:r w:rsidR="007B7A9B">
        <w:t>i jo</w:t>
      </w:r>
      <w:r w:rsidR="00383382">
        <w:t xml:space="preserve"> napisala in</w:t>
      </w:r>
      <w:r>
        <w:t xml:space="preserve"> pela in </w:t>
      </w:r>
      <w:r w:rsidR="00A95432">
        <w:t>po kateri</w:t>
      </w:r>
      <w:r>
        <w:t xml:space="preserve"> so si ljudje podali roke.</w:t>
      </w:r>
    </w:p>
    <w:p w14:paraId="021175CA" w14:textId="243E7A2A" w:rsidR="00BD37E9" w:rsidRDefault="007B7A9B">
      <w:r>
        <w:t xml:space="preserve">Če od nekod zreš nanj, si žalostna. Tvoja želja se ni izpolnila. </w:t>
      </w:r>
      <w:r w:rsidR="00383382">
        <w:t xml:space="preserve">Zapisala si – </w:t>
      </w:r>
    </w:p>
    <w:p w14:paraId="2A47EC3C" w14:textId="1F2EDAAB" w:rsidR="00BD37E9" w:rsidRDefault="00383382" w:rsidP="00383382">
      <w:pPr>
        <w:jc w:val="center"/>
      </w:pPr>
      <w:r>
        <w:t>»In naj ne vrne se med nas                                                                                 krvi in mržnje težki čas.«</w:t>
      </w:r>
    </w:p>
    <w:p w14:paraId="46B93291" w14:textId="0C11720F" w:rsidR="007B7A9B" w:rsidRDefault="007B7A9B">
      <w:r>
        <w:t>Morda se bo</w:t>
      </w:r>
      <w:r w:rsidR="00383382">
        <w:t xml:space="preserve"> želja izpolnila</w:t>
      </w:r>
      <w:r>
        <w:t>, ko bomo zbrali dovolj poguma in se uprli.  Da, upor. Upor z besedo. Upor s pesmijo. Upor z resnico, ki mora biti v naši</w:t>
      </w:r>
      <w:r w:rsidR="00353373">
        <w:t>h</w:t>
      </w:r>
      <w:r>
        <w:t xml:space="preserve"> besedah. Upor brez nasilja, a upor vsak dan, proti vsaki krivici.</w:t>
      </w:r>
    </w:p>
    <w:p w14:paraId="6FC60F20" w14:textId="625661A3" w:rsidR="007B7A9B" w:rsidRDefault="007B7A9B">
      <w:r>
        <w:t>Vsi, ki polagamo vence, spletene iz rož, besed ali glasbe, na te svete kraje nečloveškega trpljenja in premnogih smrti, vemo</w:t>
      </w:r>
      <w:r w:rsidR="00353373">
        <w:t xml:space="preserve"> in gledamo</w:t>
      </w:r>
      <w:r>
        <w:t xml:space="preserve">, </w:t>
      </w:r>
      <w:r w:rsidR="00353373">
        <w:t>kako se</w:t>
      </w:r>
      <w:r>
        <w:t xml:space="preserve"> zlo razrašča.</w:t>
      </w:r>
      <w:r w:rsidR="00353373">
        <w:t xml:space="preserve"> </w:t>
      </w:r>
      <w:r w:rsidR="00383382">
        <w:t>Spoznavamo,</w:t>
      </w:r>
      <w:r w:rsidR="00353373">
        <w:t xml:space="preserve"> da nismo dovolj pogumni, da bi se z njim borili brez omahovanja, brez preračunljivosti in nepopustljivo. </w:t>
      </w:r>
    </w:p>
    <w:p w14:paraId="0A1AF634" w14:textId="2E1DF3CA" w:rsidR="00353373" w:rsidRDefault="00353373">
      <w:r>
        <w:t>Preveč je politikov, ki sejejo sovraštvo, in politikov, ki to dopuščajo in mirno opazujejo, ali pa se pretvarjajo, da ni nobene nevarnosti.</w:t>
      </w:r>
    </w:p>
    <w:p w14:paraId="4E1E5211" w14:textId="6B1A084B" w:rsidR="00353373" w:rsidRDefault="00353373">
      <w:r>
        <w:t>Najbolj tragične žrtve preteklega časa so se spremenile v neusmiljene maščevalce in sejalce smrti. Oporo jim dajejo  mnoge učene glave</w:t>
      </w:r>
      <w:r w:rsidR="00DB2FB7">
        <w:t xml:space="preserve">, ki ustvarjajo teorije, kakršna je na primer tista o upravičenosti preventivnega etničnega čiščenja. </w:t>
      </w:r>
      <w:r w:rsidR="0084250E">
        <w:t>Ustvarjeno</w:t>
      </w:r>
      <w:r w:rsidR="00DB2FB7">
        <w:t xml:space="preserve"> je največje taborišče na svetu</w:t>
      </w:r>
      <w:r w:rsidR="0084250E">
        <w:t>, Gaza, s skoraj dvema milijonoma ljudi.</w:t>
      </w:r>
    </w:p>
    <w:p w14:paraId="18EC7367" w14:textId="51522F72" w:rsidR="00097D53" w:rsidRDefault="0084250E">
      <w:r>
        <w:t xml:space="preserve">Ljuba Barbara, </w:t>
      </w:r>
      <w:r w:rsidR="00383382">
        <w:t xml:space="preserve">pišeš in </w:t>
      </w:r>
      <w:r>
        <w:t>poješ o otrocih, ki so enaki po vsem svetu. Res je, rodijo se povsod enaki, a umirajo zelo različno. V Gazi, v valovih Sredozemskega morja in še marsikje umirajo drugače kot v Evropi. Umirajo nedolžni, le kakšen bi sicer bil otrok, in ne</w:t>
      </w:r>
      <w:r w:rsidR="007863CE">
        <w:t xml:space="preserve"> </w:t>
      </w:r>
      <w:r>
        <w:t>vedoč, zakaj morajo umreti.</w:t>
      </w:r>
    </w:p>
    <w:p w14:paraId="497538C3" w14:textId="525A2CAE" w:rsidR="00097D53" w:rsidRDefault="00097D53">
      <w:r>
        <w:t>Kadar nam prikazujejo slike iz taborišč, je eden najpogostejših prizorov mala deklica, ki si zaviha rokav in pokaže vtetovirano številko na podlahti. Človek, otrok, je postal oštevilčeni predmet v inventuri za odpis, izbris, uničenje. A tovrstno žigosanje nam ni tuje niti danes.</w:t>
      </w:r>
      <w:r w:rsidR="007D449C">
        <w:t xml:space="preserve"> Na podoben način smo Slovenci izbrisali več kot pet tisoč </w:t>
      </w:r>
      <w:r w:rsidR="000234D8">
        <w:t xml:space="preserve">pri nas živečih </w:t>
      </w:r>
      <w:r w:rsidR="007D449C">
        <w:t>otrok.</w:t>
      </w:r>
      <w:r w:rsidR="000234D8">
        <w:t xml:space="preserve"> In še pred nekaj leti ni bilo </w:t>
      </w:r>
      <w:r w:rsidR="000234D8">
        <w:lastRenderedPageBreak/>
        <w:t>prostora v dijaškem domu prav blizu nas za šest begunskih otrok. Pravzaprav je tam bil prostor, a ni ga bilo v naših srcih.</w:t>
      </w:r>
    </w:p>
    <w:p w14:paraId="192171BE" w14:textId="4213EBEB" w:rsidR="00097D53" w:rsidRDefault="00097D53">
      <w:r>
        <w:t>Barbara, tvoja pesem ne sme biti zaman. Ne sme se izgubiti s teboj. Tvojih besed ne sme raznesti veter, da se ne bi več slišale. Ponesti jih mora med vse ljudi, da iz njih vzklijejo upanje, vera, moč in pogum za spremembe.</w:t>
      </w:r>
    </w:p>
    <w:p w14:paraId="30252482" w14:textId="33D0A7D5" w:rsidR="00195E59" w:rsidRDefault="00097D53">
      <w:r>
        <w:t>Če se kdaj srečamo, ljuba Barbara, naj se srečamo s čisto vestjo</w:t>
      </w:r>
      <w:r w:rsidR="002A31BC">
        <w:t>, da smo se borili za tvoje besede in da tvoja pesem ni bila zaman.</w:t>
      </w:r>
    </w:p>
    <w:p w14:paraId="66C35817" w14:textId="443F2E2C" w:rsidR="00F36090" w:rsidRDefault="00F36090">
      <w:r>
        <w:t>…………………………………………..</w:t>
      </w:r>
    </w:p>
    <w:p w14:paraId="75448D63" w14:textId="3A15BA39" w:rsidR="00E33D42" w:rsidRDefault="00F36090" w:rsidP="00E33D42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eastAsia="sl-SI"/>
        </w:rPr>
      </w:pPr>
      <w:r w:rsidRPr="00F36090">
        <w:rPr>
          <w:rFonts w:ascii="Arial" w:eastAsia="Times New Roman" w:hAnsi="Arial" w:cs="Arial"/>
          <w:bCs/>
          <w:caps/>
          <w:color w:val="2F2F2F"/>
          <w:sz w:val="22"/>
          <w:szCs w:val="22"/>
          <w:lang w:eastAsia="sl-SI"/>
        </w:rPr>
        <w:t>1/</w:t>
      </w:r>
      <w:r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eastAsia="sl-SI"/>
        </w:rPr>
        <w:t xml:space="preserve"> </w:t>
      </w:r>
      <w:r w:rsidR="00955BD8"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eastAsia="sl-SI"/>
        </w:rPr>
        <w:t>Barbara (</w:t>
      </w:r>
      <w:r w:rsidR="00955BD8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Monique Andrée Serf</w:t>
      </w:r>
      <w:r w:rsidR="00955BD8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(1930–1997): </w:t>
      </w:r>
      <w:r w:rsidR="00955BD8"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eastAsia="sl-SI"/>
        </w:rPr>
        <w:t>GÖTTINGEN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D42" w14:paraId="07B8AEAC" w14:textId="77777777" w:rsidTr="00E33D42">
        <w:tc>
          <w:tcPr>
            <w:tcW w:w="4531" w:type="dxa"/>
          </w:tcPr>
          <w:p w14:paraId="654B1302" w14:textId="77777777" w:rsidR="00E33D42" w:rsidRDefault="00E33D42" w:rsidP="00E33D4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</w:pP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t>Bien sûr, ce n'est pas la Seine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Ce n'est pas le bois de Vincennes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Mais c'est bien joli tout de même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À Göttingen, à Göttingen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Pas de quais et pas de rengaines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Qui se lamentent et qui se traînent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Mais l'amour y fleurit quand même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À Göttingen, à Göttingen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Ils savent mieux que nous, je pense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L'histoire de nos rois de France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Herman, Peter, Helga et Hans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À Göttingen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Et que personne ne s'offense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Mais les contes de notre enfance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"Il était une fois" commence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t xml:space="preserve"> a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t xml:space="preserve"> Göttingen</w:t>
            </w:r>
          </w:p>
          <w:p w14:paraId="0BC85FC5" w14:textId="77777777" w:rsidR="00E33D42" w:rsidRPr="00E33D42" w:rsidRDefault="00E33D42" w:rsidP="00E33D42">
            <w:pPr>
              <w:spacing w:after="225"/>
              <w:jc w:val="center"/>
              <w:outlineLvl w:val="1"/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</w:pPr>
          </w:p>
          <w:p w14:paraId="214327F1" w14:textId="210EAD5C" w:rsidR="00E33D42" w:rsidRPr="00E33D42" w:rsidRDefault="00E33D42" w:rsidP="00E33D42">
            <w:pPr>
              <w:spacing w:after="225"/>
              <w:jc w:val="center"/>
              <w:outlineLvl w:val="1"/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</w:pP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t>Bien sûr nous, nous avons la Seine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Et puis notre bois de Vincennes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Mais Dieu que les roses sont belles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À Göttingen, à Göttingen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Nous, nous avons nos matins blêmes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Et l'âme grise de Verlaine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Eux c'est la mélancolie même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À Göttingen, à Göttingen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</w:r>
          </w:p>
        </w:tc>
        <w:tc>
          <w:tcPr>
            <w:tcW w:w="4531" w:type="dxa"/>
          </w:tcPr>
          <w:p w14:paraId="18E316EB" w14:textId="77777777" w:rsidR="00E33D42" w:rsidRPr="00E33D42" w:rsidRDefault="00E33D42" w:rsidP="00E33D42">
            <w:pPr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</w:pP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Ô faites que jamais ne revienne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Le temps du sang et de la haine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Car il y a des gens que j'aime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À Göttingen, à Göttingen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Et lorsque sonnerait l'alarme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S'il fallait reprendre les armes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Mon cœur verserait une larme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Pour Göttingen, pour Göttingen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</w:r>
          </w:p>
          <w:p w14:paraId="5AF3046B" w14:textId="77777777" w:rsidR="00E33D42" w:rsidRPr="00E33D42" w:rsidRDefault="00E33D42" w:rsidP="00E33D42">
            <w:pPr>
              <w:shd w:val="clear" w:color="auto" w:fill="FFFFFF"/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</w:pP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Mais c'est bien joli tout de même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À Göttingen, à Göttingen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Et lorsque sonnerait l'alarme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S'il fallait reprendre les armes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Mon cœur verserait une larme</w:t>
            </w:r>
            <w:r w:rsidRPr="00E33D42"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  <w:br/>
              <w:t>Pour Göttingen, pour Göttingen</w:t>
            </w:r>
          </w:p>
          <w:p w14:paraId="28600BFD" w14:textId="77777777" w:rsidR="00E33D42" w:rsidRPr="00E33D42" w:rsidRDefault="00E33D42" w:rsidP="00E33D42">
            <w:pPr>
              <w:spacing w:after="225"/>
              <w:jc w:val="center"/>
              <w:outlineLvl w:val="1"/>
              <w:rPr>
                <w:rFonts w:ascii="Arial" w:eastAsia="Times New Roman" w:hAnsi="Arial" w:cs="Arial"/>
                <w:color w:val="2F2F2F"/>
                <w:sz w:val="20"/>
                <w:szCs w:val="20"/>
                <w:lang w:eastAsia="sl-SI"/>
              </w:rPr>
            </w:pPr>
          </w:p>
        </w:tc>
      </w:tr>
    </w:tbl>
    <w:p w14:paraId="0C9846B2" w14:textId="31CD5ECE" w:rsidR="00E33D42" w:rsidRPr="00E33D42" w:rsidRDefault="00E33D42" w:rsidP="00E33D42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2F2F2F"/>
          <w:sz w:val="20"/>
          <w:szCs w:val="20"/>
          <w:lang w:eastAsia="sl-SI"/>
        </w:rPr>
      </w:pPr>
      <w:r w:rsidRPr="00E33D42">
        <w:rPr>
          <w:rFonts w:ascii="Arial" w:eastAsia="Times New Roman" w:hAnsi="Arial" w:cs="Arial"/>
          <w:color w:val="2F2F2F"/>
          <w:sz w:val="20"/>
          <w:szCs w:val="20"/>
          <w:lang w:eastAsia="sl-SI"/>
        </w:rPr>
        <w:br/>
      </w:r>
    </w:p>
    <w:p w14:paraId="6E22D1C1" w14:textId="1398E47E" w:rsidR="00E33D42" w:rsidRDefault="00E12017">
      <w:r>
        <w:t>ö</w:t>
      </w:r>
      <w:bookmarkStart w:id="0" w:name="_GoBack"/>
      <w:bookmarkEnd w:id="0"/>
    </w:p>
    <w:sectPr w:rsidR="00E3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204A0" w14:textId="77777777" w:rsidR="00955BD8" w:rsidRDefault="00955BD8" w:rsidP="00955BD8">
      <w:pPr>
        <w:spacing w:after="0" w:line="240" w:lineRule="auto"/>
      </w:pPr>
      <w:r>
        <w:separator/>
      </w:r>
    </w:p>
  </w:endnote>
  <w:endnote w:type="continuationSeparator" w:id="0">
    <w:p w14:paraId="00A3EFB5" w14:textId="77777777" w:rsidR="00955BD8" w:rsidRDefault="00955BD8" w:rsidP="0095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0F29C" w14:textId="77777777" w:rsidR="00955BD8" w:rsidRDefault="00955BD8" w:rsidP="00955BD8">
      <w:pPr>
        <w:spacing w:after="0" w:line="240" w:lineRule="auto"/>
      </w:pPr>
      <w:r>
        <w:separator/>
      </w:r>
    </w:p>
  </w:footnote>
  <w:footnote w:type="continuationSeparator" w:id="0">
    <w:p w14:paraId="2A27280F" w14:textId="77777777" w:rsidR="00955BD8" w:rsidRDefault="00955BD8" w:rsidP="0095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34"/>
    <w:rsid w:val="000234D8"/>
    <w:rsid w:val="00097D53"/>
    <w:rsid w:val="00195E59"/>
    <w:rsid w:val="002A31BC"/>
    <w:rsid w:val="00353373"/>
    <w:rsid w:val="00383382"/>
    <w:rsid w:val="007863CE"/>
    <w:rsid w:val="007B7A9B"/>
    <w:rsid w:val="007D449C"/>
    <w:rsid w:val="0084250E"/>
    <w:rsid w:val="00955BD8"/>
    <w:rsid w:val="00A95432"/>
    <w:rsid w:val="00BD37E9"/>
    <w:rsid w:val="00C369CB"/>
    <w:rsid w:val="00CA43EB"/>
    <w:rsid w:val="00D43234"/>
    <w:rsid w:val="00DB2FB7"/>
    <w:rsid w:val="00E12017"/>
    <w:rsid w:val="00E33D42"/>
    <w:rsid w:val="00EA27BD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C738"/>
  <w15:chartTrackingRefBased/>
  <w15:docId w15:val="{D6D1FA21-A8CA-493D-9E09-5C653A2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E33D4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95E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33D42"/>
    <w:rPr>
      <w:rFonts w:eastAsia="Times New Roman"/>
      <w:b/>
      <w:bCs/>
      <w:sz w:val="36"/>
      <w:szCs w:val="36"/>
      <w:lang w:eastAsia="sl-SI"/>
    </w:rPr>
  </w:style>
  <w:style w:type="table" w:styleId="Tabelamrea">
    <w:name w:val="Table Grid"/>
    <w:basedOn w:val="Navadnatabela"/>
    <w:uiPriority w:val="39"/>
    <w:rsid w:val="00E3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55BD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55BD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6FC5A6-54EE-4F30-B509-AFB21B4A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Petrovec</dc:creator>
  <cp:keywords/>
  <dc:description/>
  <cp:lastModifiedBy>Mira Hladnik</cp:lastModifiedBy>
  <cp:revision>3</cp:revision>
  <dcterms:created xsi:type="dcterms:W3CDTF">2021-06-13T06:30:00Z</dcterms:created>
  <dcterms:modified xsi:type="dcterms:W3CDTF">2021-06-14T06:02:00Z</dcterms:modified>
</cp:coreProperties>
</file>